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B91" w:rsidRDefault="00E71B91">
      <w:pPr>
        <w:rPr>
          <w:rFonts w:ascii="Calibri" w:eastAsia="Calibri" w:hAnsi="Calibri" w:cs="Times New Roman"/>
          <w:lang w:eastAsia="ru-RU"/>
        </w:rPr>
      </w:pPr>
    </w:p>
    <w:p w:rsidR="00E71B91" w:rsidRDefault="00B404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E71B91" w:rsidRDefault="00B404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Совете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 </w:t>
      </w:r>
    </w:p>
    <w:p w:rsidR="00E71B91" w:rsidRDefault="00B4043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«25» __08_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 2015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МКОУ «Специальная школа №30» </w:t>
      </w:r>
    </w:p>
    <w:p w:rsidR="00E71B91" w:rsidRDefault="00B40433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E71B91" w:rsidRDefault="00B40433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«01 » __09___  2015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1B91" w:rsidRDefault="00B40433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noProof/>
        </w:rPr>
        <w:drawing>
          <wp:inline distT="0" distB="0" distL="0" distR="0" wp14:anchorId="01860F62" wp14:editId="0F08D21C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_GoBack"/>
      <w:bookmarkEnd w:id="0"/>
    </w:p>
    <w:p w:rsidR="00E71B91" w:rsidRDefault="00E71B9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71B91" w:rsidRDefault="00B40433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положение</w:t>
      </w:r>
    </w:p>
    <w:p w:rsidR="00E71B91" w:rsidRDefault="00B40433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о соотношении учебной и другой педагогической работы в пределах рабочей недели</w:t>
      </w: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E71B91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о соотношении учебной (преподавательской) и другой педагогической работы в пределах рабочей недели </w:t>
      </w: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общеобразовательного учреждения </w:t>
      </w:r>
    </w:p>
    <w:p w:rsidR="00E71B91" w:rsidRDefault="00B40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E71B91" w:rsidRDefault="00E71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B91" w:rsidRDefault="00B40433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Общие положения </w:t>
      </w:r>
    </w:p>
    <w:p w:rsidR="00E71B91" w:rsidRDefault="00E71B91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E71B91" w:rsidRDefault="00B40433">
      <w:pPr>
        <w:pStyle w:val="af5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Федеральным Законом от 29 декабря 2012 г. № 273-ФЗ «Об образовании в Российской Федерации», правилами внутреннего трудового распорядка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Уставом МКОУ «Специальная школа № 30».</w:t>
      </w:r>
    </w:p>
    <w:p w:rsidR="00E71B91" w:rsidRDefault="00B40433">
      <w:pPr>
        <w:pStyle w:val="af5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Настоящее Положение регулирует нормирование и соотношение учебной (преподаватель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ской) и другой педагогической работы в пределах рабочей недели с учетом количества часов по учебному плану, специальности и квалификации педагогического работника.</w:t>
      </w:r>
    </w:p>
    <w:p w:rsidR="00E71B91" w:rsidRDefault="00B40433">
      <w:pPr>
        <w:pStyle w:val="af5"/>
        <w:numPr>
          <w:ilvl w:val="1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Настоящее Положение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распространяется  на</w:t>
      </w:r>
      <w:proofErr w:type="gram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всех педагогических работников (штатных, совместите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лей), состоящих в трудовых отношениях с Учреждением. К педагогическим работникам относят должности: учитель, учитель-логопед, педагог дополнительного образования, педагог-организатор, педагог-психолог, преподаватель-организатор ОБЖ, воспитатель, библиотека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рь.</w:t>
      </w:r>
    </w:p>
    <w:p w:rsidR="00E71B91" w:rsidRDefault="00E71B91">
      <w:pPr>
        <w:pStyle w:val="af5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71B91" w:rsidRDefault="00E71B91">
      <w:pPr>
        <w:pStyle w:val="af5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71B91" w:rsidRDefault="00B40433">
      <w:pPr>
        <w:pStyle w:val="af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рабочего времени педагогических работников</w:t>
      </w:r>
    </w:p>
    <w:p w:rsidR="00E71B91" w:rsidRDefault="00E71B91">
      <w:pPr>
        <w:pStyle w:val="af4"/>
        <w:ind w:left="45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Выполнение педагогической работы учителями, педагогами и т.д. (далее - педагогические работники, ведущие преподавательскую работу) характеризуется наличием установленных норм времени для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выполнения педагогической работы, связанной с преподавательской работой.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нормировано по 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оличеству часов.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Нормируемая часть рабочего времени работников, ведущих преподавательскую работу, определяется в астрономических часах и включает проводимые учебные занятия независимо от их продолжительности (академический час) и короткие перерывы (перемен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ы) между каждым учебным занятием, установленные для учащихся.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продолжительностью, не превышающей 45 минут.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Конкретная про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должительность учебных занятий, а также перерывов (перемен) между ними предусматривается правилами внутреннего трудового распорядка с учетом соответствующих санитарно-эпидемиологических правил и нормативов (СанПиН), утвержденных в установленном порядке. Вы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полнение преподавательской работы регулируется расписанием учебных занятий.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   Нормируемая часть рабочего времени работников, ведущих преподавательскую работу, определяется 18 часами в неделю при работе на 1,0 ставку. При работе на доли ставок все нормы ра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бочего времени определяются пропорционально.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Другая часть 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преду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смотренных Уставом учреждения, правилами внутреннего трудового распорядка, тарифно-квалификационными (квалификационными) характеристиками, и регулируется графиками и планами работы, в т.ч. личными планами педагогического работника, и включает: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выполнение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обязанностей, связанных с участием в работе педагогических, методических советов, методических объединений, с работой по проведению родительских собраний, консультаций, оздоровительных, воспитательных и других мероприятий, предусмотренных образовательной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программой;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время, затрачиваемое непосредственно на подготовк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к работе по обучению и воспитанию учащихся,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периодические кратковременные дежурства в учреждении в период образовательного пр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оцесса, которые при необходимости могут организовываться в целях подготовки к проведению занятий, наблюдения за выполнением режима дня учащихся, обеспечения порядка и дисциплины в течение учебного времени, в том числе во время перерывов между уроками и зан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ятиями, устанавливаемых для отдыха учащихся различной степени активности.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При составлении графика дежурств педагогических работников в период проведения учебных занятий, до их начала и после окончания учебных занятий учитываются сменность работы учрежден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ия, режим рабочего времени каждого педагогического работника в соответствии с расписанием уроков и занятий, общим планом мероприятий, другие особенности работы с тем, чтобы не допускать случаев длительного дежурства педагогических работников, дежурства в д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ни, когда учебная нагрузка отсутствует или незначительна. В дни работы к дежурству педагогические работники привлекаются не ранее чем за 20 минут до начала учебных занятий и не позднее 20 минут после окончания их последнего занятия;</w:t>
      </w:r>
    </w:p>
    <w:p w:rsidR="00E71B91" w:rsidRDefault="00B40433">
      <w:pPr>
        <w:pStyle w:val="af4"/>
        <w:ind w:left="72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выполнение дополнител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(работа с семьями учащихся, заведование учебными кабинетами, руководство методическими объедине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ниями и др.).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Дни недели (периоды времени, в течение которых учреждение осуществляет свою деятельность), свободные для педагогических работников, ведущих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преподавательскую работу, от проведения учебных занятий по расписанию, от выполнения иных обязанностей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регулируемых графиками и планами работы, педагогический работник может использовать  для повышения квалификации, самообразования, научно-методической деятельности, подготовки к занятиям, организации внеурочной деятельности учащихся по предметам и т.п.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Постановлением Правительства Российской Федерации от 3 апре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 2003 г. N 191 "О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учреждений" (Собрание законодательства Российской Федерации, 2003, N 14, ст. 1289; 2005, N 7, 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560), определяется с учетом их догрузки до установленной нормы часов другой педагогической работой.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Нормируемая часть рабочего времени для педагога-организатора, педагога-психолога, социального педагога, учителя-логопеда определяется 36 часами в неделю п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 работе на 1,0 ставку. При работе на доли ставок все нормы рабочего времени определяются пропорционально.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допускаются, за исключением случаев, предусмотренных настоящим Положением.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составлении расписаний учебных занятий учреждение обязано исключить нерациональные затраты времени педагогических работников, ведущих преподавательскую работу, с тем, чтобы не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(перемен) между каждым учебным занятием, установленных для учащихся, ра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бочим временем педагогических работников не являются.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Периоды осенних, зимних, весенних и летних каникул, установленные для учащихся учреждения и не совпадающие с ежегодным оплачиваемым основным и дополнительным отпуском работника (далее - каникулярный пер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иод), являются для него рабочим временем.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времени (установленного объема учебной нагрузки (педагогической работы)), определенной им до начала каникул, и времени, необходимого для выполнения работ, предусмотренных </w:t>
      </w:r>
      <w:hyperlink r:id="rId6" w:anchor="_blank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2.3</w:t>
        </w:r>
      </w:hyperlink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настоящего Положения, с сохранением заработной платы в установленном порядке.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Режим рабочего времени педагогических работников, принятых на работу во время летних каникул учащихся, определяется в пределах нормы часов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преподавательской (педагогической) работы в неделю, установленной за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ставку заработной платы и времени, необходимого для выполнения других должностных обязанностей.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Режим рабочего времени всех работников в каникулярный период регулируется правилами внутрен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него трудового распорядка учреждения, планом и графиками работ с указанием их характера.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дагогических работников учреждения.</w:t>
      </w:r>
    </w:p>
    <w:p w:rsidR="00E71B91" w:rsidRDefault="00B40433">
      <w:pPr>
        <w:pStyle w:val="af4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периоды отмены учебных занятий (образовательного процесса) педагогические работники привлекаются к учебно-воспитательной, научно-методической, организационной работе.</w:t>
      </w:r>
    </w:p>
    <w:p w:rsidR="00E71B91" w:rsidRDefault="00E71B91">
      <w:pPr>
        <w:pStyle w:val="af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E71B91" w:rsidRDefault="00E71B91">
      <w:pPr>
        <w:pStyle w:val="af4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sectPr w:rsidR="00E71B91">
      <w:pgSz w:w="11906" w:h="16838"/>
      <w:pgMar w:top="851" w:right="850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6F4"/>
    <w:multiLevelType w:val="multilevel"/>
    <w:tmpl w:val="CAEA186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7E38758C"/>
    <w:multiLevelType w:val="multilevel"/>
    <w:tmpl w:val="8FCC0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9F40DF"/>
    <w:multiLevelType w:val="multilevel"/>
    <w:tmpl w:val="C37A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91"/>
    <w:rsid w:val="00B40433"/>
    <w:rsid w:val="00E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35CB"/>
  <w15:docId w15:val="{FDECB332-EA27-431F-AFC6-397185A1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0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E2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AE22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DA023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2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2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5101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2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2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2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2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E2203"/>
    <w:rPr>
      <w:rFonts w:asciiTheme="majorHAnsi" w:eastAsiaTheme="majorEastAsia" w:hAnsiTheme="majorHAnsi" w:cstheme="majorBidi"/>
      <w:b/>
      <w:bCs/>
      <w:color w:val="D57B02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qFormat/>
    <w:rsid w:val="00AE2203"/>
    <w:rPr>
      <w:rFonts w:asciiTheme="majorHAnsi" w:eastAsiaTheme="majorEastAsia" w:hAnsiTheme="majorHAnsi" w:cstheme="majorBidi"/>
      <w:b/>
      <w:bCs/>
      <w:color w:val="FDA023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E2203"/>
    <w:rPr>
      <w:rFonts w:asciiTheme="majorHAnsi" w:eastAsiaTheme="majorEastAsia" w:hAnsiTheme="majorHAnsi" w:cstheme="majorBidi"/>
      <w:b/>
      <w:bCs/>
      <w:color w:val="FDA023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E2203"/>
    <w:rPr>
      <w:rFonts w:asciiTheme="majorHAnsi" w:eastAsiaTheme="majorEastAsia" w:hAnsiTheme="majorHAnsi" w:cstheme="majorBidi"/>
      <w:b/>
      <w:bCs/>
      <w:i/>
      <w:iCs/>
      <w:color w:val="FDA023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E2203"/>
    <w:rPr>
      <w:rFonts w:asciiTheme="majorHAnsi" w:eastAsiaTheme="majorEastAsia" w:hAnsiTheme="majorHAnsi" w:cstheme="majorBidi"/>
      <w:color w:val="8E5101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E2203"/>
    <w:rPr>
      <w:rFonts w:asciiTheme="majorHAnsi" w:eastAsiaTheme="majorEastAsia" w:hAnsiTheme="majorHAnsi" w:cstheme="majorBidi"/>
      <w:i/>
      <w:iCs/>
      <w:color w:val="8E510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E22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E2203"/>
    <w:rPr>
      <w:rFonts w:asciiTheme="majorHAnsi" w:eastAsiaTheme="majorEastAsia" w:hAnsiTheme="majorHAnsi" w:cstheme="majorBidi"/>
      <w:color w:val="FDA023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E22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AE2203"/>
    <w:rPr>
      <w:rFonts w:asciiTheme="majorHAnsi" w:eastAsiaTheme="majorEastAsia" w:hAnsiTheme="majorHAnsi" w:cstheme="majorBidi"/>
      <w:color w:val="344674" w:themeColor="text2" w:themeShade="BF"/>
      <w:spacing w:val="5"/>
      <w:kern w:val="2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AE2203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AE2203"/>
    <w:rPr>
      <w:b/>
      <w:bCs/>
    </w:rPr>
  </w:style>
  <w:style w:type="character" w:styleId="a6">
    <w:name w:val="Emphasis"/>
    <w:basedOn w:val="a0"/>
    <w:uiPriority w:val="20"/>
    <w:qFormat/>
    <w:rsid w:val="00AE2203"/>
    <w:rPr>
      <w:i/>
      <w:iCs/>
    </w:rPr>
  </w:style>
  <w:style w:type="character" w:customStyle="1" w:styleId="21">
    <w:name w:val="Цитата 2 Знак"/>
    <w:basedOn w:val="a0"/>
    <w:link w:val="22"/>
    <w:uiPriority w:val="29"/>
    <w:qFormat/>
    <w:rsid w:val="00AE2203"/>
    <w:rPr>
      <w:i/>
      <w:iCs/>
      <w:color w:val="000000" w:themeColor="text1"/>
    </w:rPr>
  </w:style>
  <w:style w:type="character" w:customStyle="1" w:styleId="a7">
    <w:name w:val="Выделенная цитата Знак"/>
    <w:basedOn w:val="a0"/>
    <w:uiPriority w:val="30"/>
    <w:qFormat/>
    <w:rsid w:val="00AE2203"/>
    <w:rPr>
      <w:b/>
      <w:bCs/>
      <w:i/>
      <w:iCs/>
      <w:color w:val="FDA023" w:themeColor="accent1"/>
    </w:rPr>
  </w:style>
  <w:style w:type="character" w:styleId="a8">
    <w:name w:val="Subtle Emphasis"/>
    <w:basedOn w:val="a0"/>
    <w:uiPriority w:val="19"/>
    <w:qFormat/>
    <w:rsid w:val="00AE220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AE2203"/>
    <w:rPr>
      <w:b/>
      <w:bCs/>
      <w:i/>
      <w:iCs/>
      <w:color w:val="FDA023" w:themeColor="accent1"/>
    </w:rPr>
  </w:style>
  <w:style w:type="character" w:styleId="aa">
    <w:name w:val="Subtle Reference"/>
    <w:basedOn w:val="a0"/>
    <w:uiPriority w:val="31"/>
    <w:qFormat/>
    <w:rsid w:val="00AE2203"/>
    <w:rPr>
      <w:smallCaps/>
      <w:color w:val="AA2B1E" w:themeColor="accent2"/>
      <w:u w:val="single"/>
    </w:rPr>
  </w:style>
  <w:style w:type="character" w:styleId="ab">
    <w:name w:val="Intense Reference"/>
    <w:basedOn w:val="a0"/>
    <w:uiPriority w:val="32"/>
    <w:qFormat/>
    <w:rsid w:val="00AE2203"/>
    <w:rPr>
      <w:b/>
      <w:bCs/>
      <w:smallCaps/>
      <w:color w:val="AA2B1E" w:themeColor="accent2"/>
      <w:spacing w:val="5"/>
      <w:u w:val="single"/>
    </w:rPr>
  </w:style>
  <w:style w:type="character" w:styleId="ac">
    <w:name w:val="Book Title"/>
    <w:basedOn w:val="a0"/>
    <w:uiPriority w:val="33"/>
    <w:qFormat/>
    <w:rsid w:val="00AE2203"/>
    <w:rPr>
      <w:b/>
      <w:bCs/>
      <w:smallCaps/>
      <w:spacing w:val="5"/>
    </w:rPr>
  </w:style>
  <w:style w:type="character" w:customStyle="1" w:styleId="-">
    <w:name w:val="Интернет-ссылка"/>
    <w:basedOn w:val="a0"/>
    <w:uiPriority w:val="99"/>
    <w:semiHidden/>
    <w:unhideWhenUsed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67166"/>
  </w:style>
  <w:style w:type="character" w:customStyle="1" w:styleId="ad">
    <w:name w:val="Текст выноски Знак"/>
    <w:basedOn w:val="a0"/>
    <w:uiPriority w:val="99"/>
    <w:semiHidden/>
    <w:qFormat/>
    <w:rsid w:val="000825CA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f"/>
    <w:uiPriority w:val="10"/>
    <w:qFormat/>
    <w:rsid w:val="00AE2203"/>
    <w:pPr>
      <w:pBdr>
        <w:bottom w:val="single" w:sz="8" w:space="4" w:color="FDA023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4674" w:themeColor="text2" w:themeShade="BF"/>
      <w:spacing w:val="5"/>
      <w:kern w:val="2"/>
      <w:sz w:val="52"/>
      <w:szCs w:val="52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next w:val="a"/>
    <w:uiPriority w:val="35"/>
    <w:semiHidden/>
    <w:unhideWhenUsed/>
    <w:qFormat/>
    <w:rsid w:val="00AE2203"/>
    <w:pPr>
      <w:spacing w:line="240" w:lineRule="auto"/>
    </w:pPr>
    <w:rPr>
      <w:b/>
      <w:bCs/>
      <w:color w:val="FDA023" w:themeColor="accent1"/>
      <w:sz w:val="18"/>
      <w:szCs w:val="18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Subtitle"/>
    <w:basedOn w:val="a"/>
    <w:next w:val="a"/>
    <w:uiPriority w:val="11"/>
    <w:qFormat/>
    <w:rsid w:val="00AE2203"/>
    <w:rPr>
      <w:rFonts w:asciiTheme="majorHAnsi" w:eastAsiaTheme="majorEastAsia" w:hAnsiTheme="majorHAnsi" w:cstheme="majorBidi"/>
      <w:i/>
      <w:iCs/>
      <w:color w:val="FDA023" w:themeColor="accent1"/>
      <w:spacing w:val="15"/>
      <w:sz w:val="24"/>
      <w:szCs w:val="24"/>
    </w:rPr>
  </w:style>
  <w:style w:type="paragraph" w:styleId="af4">
    <w:name w:val="No Spacing"/>
    <w:uiPriority w:val="1"/>
    <w:qFormat/>
    <w:rsid w:val="00AE2203"/>
  </w:style>
  <w:style w:type="paragraph" w:styleId="af5">
    <w:name w:val="List Paragraph"/>
    <w:basedOn w:val="a"/>
    <w:uiPriority w:val="34"/>
    <w:qFormat/>
    <w:rsid w:val="00AE2203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AE2203"/>
    <w:rPr>
      <w:i/>
      <w:iCs/>
      <w:color w:val="000000" w:themeColor="text1"/>
    </w:rPr>
  </w:style>
  <w:style w:type="paragraph" w:styleId="af6">
    <w:name w:val="Intense Quote"/>
    <w:basedOn w:val="a"/>
    <w:next w:val="a"/>
    <w:uiPriority w:val="30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 w:themeColor="accent1"/>
    </w:rPr>
  </w:style>
  <w:style w:type="paragraph" w:styleId="af7">
    <w:name w:val="TOC Heading"/>
    <w:basedOn w:val="1"/>
    <w:next w:val="a"/>
    <w:uiPriority w:val="39"/>
    <w:semiHidden/>
    <w:unhideWhenUsed/>
    <w:qFormat/>
    <w:rsid w:val="00AE2203"/>
  </w:style>
  <w:style w:type="paragraph" w:styleId="af8">
    <w:name w:val="Normal (Web)"/>
    <w:basedOn w:val="a"/>
    <w:uiPriority w:val="99"/>
    <w:semiHidden/>
    <w:unhideWhenUsed/>
    <w:qFormat/>
    <w:rsid w:val="00167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qFormat/>
    <w:rsid w:val="00167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qFormat/>
    <w:rsid w:val="001671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uiPriority w:val="99"/>
    <w:semiHidden/>
    <w:unhideWhenUsed/>
    <w:qFormat/>
    <w:rsid w:val="000825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D8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dtuhyugan.86.i-schools.ru/?page=POLSOO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1426</Words>
  <Characters>8133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dc:description/>
  <cp:lastModifiedBy>Лиля</cp:lastModifiedBy>
  <cp:revision>4</cp:revision>
  <cp:lastPrinted>2016-08-10T06:03:00Z</cp:lastPrinted>
  <dcterms:created xsi:type="dcterms:W3CDTF">2020-08-07T04:48:00Z</dcterms:created>
  <dcterms:modified xsi:type="dcterms:W3CDTF">2023-10-30T13:38:00Z</dcterms:modified>
  <dc:language>ru-RU</dc:language>
</cp:coreProperties>
</file>